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F0577" w14:textId="77777777" w:rsidR="00296B9F" w:rsidRPr="00296B9F" w:rsidRDefault="00296B9F" w:rsidP="00296B9F">
      <w:pPr>
        <w:widowControl w:val="0"/>
        <w:spacing w:before="1" w:after="0" w:line="180" w:lineRule="auto"/>
        <w:jc w:val="center"/>
        <w:rPr>
          <w:rFonts w:ascii="Calibri" w:hAnsi="Calibri"/>
          <w:b/>
          <w:spacing w:val="-5"/>
          <w:sz w:val="20"/>
          <w:szCs w:val="20"/>
        </w:rPr>
      </w:pPr>
      <w:r w:rsidRPr="00296B9F">
        <w:rPr>
          <w:rFonts w:ascii="Calibri" w:hAnsi="Calibri"/>
          <w:b/>
          <w:noProof/>
          <w:spacing w:val="-5"/>
          <w:sz w:val="20"/>
          <w:szCs w:val="20"/>
        </w:rPr>
        <w:drawing>
          <wp:inline distT="0" distB="0" distL="0" distR="0" wp14:anchorId="3C8C583E" wp14:editId="6F2207FB">
            <wp:extent cx="2105025" cy="650836"/>
            <wp:effectExtent l="0" t="0" r="0" b="0"/>
            <wp:docPr id="2107006224" name="Picture 6"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06224" name="Picture 6" descr="Blue text on a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5967" cy="682046"/>
                    </a:xfrm>
                    <a:prstGeom prst="rect">
                      <a:avLst/>
                    </a:prstGeom>
                    <a:noFill/>
                    <a:ln>
                      <a:noFill/>
                    </a:ln>
                  </pic:spPr>
                </pic:pic>
              </a:graphicData>
            </a:graphic>
          </wp:inline>
        </w:drawing>
      </w:r>
    </w:p>
    <w:p w14:paraId="72A1998B" w14:textId="77777777" w:rsidR="00296B9F" w:rsidRPr="00296B9F" w:rsidRDefault="00296B9F" w:rsidP="00296B9F">
      <w:pPr>
        <w:widowControl w:val="0"/>
        <w:spacing w:before="1" w:after="0" w:line="180" w:lineRule="auto"/>
        <w:rPr>
          <w:rFonts w:ascii="Calibri" w:hAnsi="Calibri"/>
          <w:spacing w:val="-6"/>
          <w:sz w:val="20"/>
          <w:szCs w:val="20"/>
        </w:rPr>
      </w:pPr>
      <w:r w:rsidRPr="00296B9F">
        <w:rPr>
          <w:rFonts w:ascii="Calibri" w:hAnsi="Calibri"/>
          <w:b/>
          <w:spacing w:val="-5"/>
          <w:sz w:val="20"/>
          <w:szCs w:val="20"/>
        </w:rPr>
        <w:t>Andrew McNamara</w:t>
      </w:r>
      <w:r w:rsidRPr="00296B9F">
        <w:rPr>
          <w:rFonts w:ascii="Calibri" w:hAnsi="Calibri"/>
          <w:b/>
          <w:spacing w:val="-6"/>
          <w:sz w:val="20"/>
          <w:szCs w:val="20"/>
        </w:rPr>
        <w:t>,</w:t>
      </w:r>
      <w:r w:rsidRPr="00296B9F">
        <w:rPr>
          <w:rFonts w:ascii="Calibri" w:hAnsi="Calibri"/>
          <w:b/>
          <w:spacing w:val="-15"/>
          <w:sz w:val="20"/>
          <w:szCs w:val="20"/>
        </w:rPr>
        <w:t xml:space="preserve"> </w:t>
      </w:r>
      <w:r w:rsidRPr="00296B9F">
        <w:rPr>
          <w:rFonts w:ascii="Calibri" w:hAnsi="Calibri"/>
          <w:b/>
          <w:spacing w:val="-2"/>
          <w:sz w:val="20"/>
          <w:szCs w:val="20"/>
        </w:rPr>
        <w:t xml:space="preserve">MD </w:t>
      </w:r>
      <w:r w:rsidRPr="00296B9F">
        <w:rPr>
          <w:rFonts w:ascii="Calibri" w:hAnsi="Calibri"/>
          <w:spacing w:val="-6"/>
          <w:sz w:val="20"/>
          <w:szCs w:val="20"/>
        </w:rPr>
        <w:t xml:space="preserve">The </w:t>
      </w:r>
      <w:proofErr w:type="spellStart"/>
      <w:r w:rsidRPr="00296B9F">
        <w:rPr>
          <w:rFonts w:ascii="Calibri" w:hAnsi="Calibri"/>
          <w:spacing w:val="-6"/>
          <w:sz w:val="20"/>
          <w:szCs w:val="20"/>
        </w:rPr>
        <w:t>Orthopaedic</w:t>
      </w:r>
      <w:proofErr w:type="spellEnd"/>
      <w:r w:rsidRPr="00296B9F">
        <w:rPr>
          <w:rFonts w:ascii="Calibri" w:hAnsi="Calibri"/>
          <w:spacing w:val="-6"/>
          <w:sz w:val="20"/>
          <w:szCs w:val="20"/>
        </w:rPr>
        <w:t xml:space="preserve"> and Fracture Clinic | 1431 Premier Drive Mankato, MN 56001 | 507-386-6600</w:t>
      </w:r>
    </w:p>
    <w:p w14:paraId="1399E62D" w14:textId="77777777" w:rsidR="00296B9F" w:rsidRDefault="00296B9F" w:rsidP="000C3D1F">
      <w:pPr>
        <w:spacing w:after="0"/>
        <w:jc w:val="center"/>
        <w:rPr>
          <w:rFonts w:ascii="Arial" w:hAnsi="Arial" w:cs="Arial"/>
          <w:b/>
        </w:rPr>
      </w:pPr>
    </w:p>
    <w:p w14:paraId="411ACE2A" w14:textId="51325955" w:rsidR="000C3D1F" w:rsidRPr="005B4E60" w:rsidRDefault="00190CE9" w:rsidP="000C3D1F">
      <w:pPr>
        <w:spacing w:after="0"/>
        <w:jc w:val="center"/>
        <w:rPr>
          <w:rFonts w:ascii="Arial" w:hAnsi="Arial" w:cs="Arial"/>
          <w:b/>
        </w:rPr>
      </w:pPr>
      <w:r w:rsidRPr="005B4E60">
        <w:rPr>
          <w:rFonts w:ascii="Arial" w:hAnsi="Arial" w:cs="Arial"/>
          <w:b/>
        </w:rPr>
        <w:t>Boutonniere Deformity</w:t>
      </w:r>
      <w:r w:rsidR="00A21809" w:rsidRPr="005B4E60">
        <w:rPr>
          <w:rFonts w:ascii="Arial" w:hAnsi="Arial" w:cs="Arial"/>
          <w:b/>
        </w:rPr>
        <w:t xml:space="preserve"> – Conservative Management</w:t>
      </w:r>
    </w:p>
    <w:p w14:paraId="3C63FDDF" w14:textId="77777777" w:rsidR="00A21809" w:rsidRPr="005B4E60" w:rsidRDefault="00A21809" w:rsidP="000C3D1F">
      <w:pPr>
        <w:spacing w:after="0"/>
        <w:jc w:val="center"/>
        <w:rPr>
          <w:rFonts w:ascii="Arial" w:hAnsi="Arial" w:cs="Arial"/>
          <w:b/>
        </w:rPr>
      </w:pPr>
      <w:r w:rsidRPr="005B4E60">
        <w:rPr>
          <w:rFonts w:ascii="Arial" w:hAnsi="Arial" w:cs="Arial"/>
          <w:b/>
        </w:rPr>
        <w:t>Acute Injury: &lt;3 weeks from initial injury</w:t>
      </w:r>
    </w:p>
    <w:p w14:paraId="3BEF4297" w14:textId="77777777" w:rsidR="000C3D1F" w:rsidRPr="005B4E60" w:rsidRDefault="000C3D1F" w:rsidP="000C3D1F">
      <w:pPr>
        <w:spacing w:after="0"/>
        <w:jc w:val="center"/>
        <w:rPr>
          <w:rFonts w:ascii="Arial" w:hAnsi="Arial" w:cs="Arial"/>
          <w:b/>
        </w:rPr>
      </w:pPr>
      <w:r w:rsidRPr="005B4E60">
        <w:rPr>
          <w:rFonts w:ascii="Arial" w:hAnsi="Arial" w:cs="Arial"/>
          <w:b/>
        </w:rPr>
        <w:t>REHABILITATION PROTOCOL</w:t>
      </w:r>
    </w:p>
    <w:p w14:paraId="64DA7DC2" w14:textId="77777777" w:rsidR="00000000" w:rsidRPr="005B4E60" w:rsidRDefault="00000000">
      <w:pPr>
        <w:rPr>
          <w:rFonts w:ascii="Arial" w:hAnsi="Arial" w:cs="Arial"/>
        </w:rPr>
      </w:pPr>
    </w:p>
    <w:p w14:paraId="2D1772B0" w14:textId="77777777" w:rsidR="000C3D1F" w:rsidRPr="005B4E60" w:rsidRDefault="000C3D1F">
      <w:pPr>
        <w:rPr>
          <w:rFonts w:ascii="Arial" w:hAnsi="Arial" w:cs="Arial"/>
          <w:b/>
        </w:rPr>
      </w:pPr>
      <w:r w:rsidRPr="005B4E60">
        <w:rPr>
          <w:rFonts w:ascii="Arial" w:hAnsi="Arial" w:cs="Arial"/>
          <w:b/>
        </w:rPr>
        <w:t>Description of Diagnosis</w:t>
      </w:r>
    </w:p>
    <w:p w14:paraId="7797A366" w14:textId="77777777" w:rsidR="000C3D1F" w:rsidRPr="005B4E60" w:rsidRDefault="000C3D1F" w:rsidP="000C3D1F">
      <w:pPr>
        <w:pStyle w:val="ListParagraph"/>
        <w:numPr>
          <w:ilvl w:val="0"/>
          <w:numId w:val="1"/>
        </w:numPr>
        <w:rPr>
          <w:rFonts w:ascii="Arial" w:hAnsi="Arial" w:cs="Arial"/>
        </w:rPr>
      </w:pPr>
      <w:r w:rsidRPr="005B4E60">
        <w:rPr>
          <w:rFonts w:ascii="Arial" w:hAnsi="Arial" w:cs="Arial"/>
        </w:rPr>
        <w:t>A boutonniere deformity can result from either an open or closed injury in Zone III. There is a resultant PIP flexion deformity with secondary DIP hyperextension. This type of injury can occur from the following:</w:t>
      </w:r>
    </w:p>
    <w:p w14:paraId="0F647B9D" w14:textId="77777777" w:rsidR="000C3D1F" w:rsidRPr="005B4E60" w:rsidRDefault="000C3D1F" w:rsidP="000C3D1F">
      <w:pPr>
        <w:pStyle w:val="ListParagraph"/>
        <w:numPr>
          <w:ilvl w:val="1"/>
          <w:numId w:val="1"/>
        </w:numPr>
        <w:rPr>
          <w:rFonts w:ascii="Arial" w:hAnsi="Arial" w:cs="Arial"/>
        </w:rPr>
      </w:pPr>
      <w:r w:rsidRPr="005B4E60">
        <w:rPr>
          <w:rFonts w:ascii="Arial" w:hAnsi="Arial" w:cs="Arial"/>
        </w:rPr>
        <w:t>A laceration, attenuation or rupture of the central extensor tendon.</w:t>
      </w:r>
    </w:p>
    <w:p w14:paraId="1CE6FDBE" w14:textId="77777777" w:rsidR="000C3D1F" w:rsidRPr="005B4E60" w:rsidRDefault="000C3D1F" w:rsidP="000C3D1F">
      <w:pPr>
        <w:pStyle w:val="ListParagraph"/>
        <w:numPr>
          <w:ilvl w:val="1"/>
          <w:numId w:val="1"/>
        </w:numPr>
        <w:rPr>
          <w:rFonts w:ascii="Arial" w:hAnsi="Arial" w:cs="Arial"/>
        </w:rPr>
      </w:pPr>
      <w:r w:rsidRPr="005B4E60">
        <w:rPr>
          <w:rFonts w:ascii="Arial" w:hAnsi="Arial" w:cs="Arial"/>
        </w:rPr>
        <w:t>A tear of the triangular ligament and fibers between the central tendon and lateral bands due to pull of the FDS.</w:t>
      </w:r>
    </w:p>
    <w:p w14:paraId="64A13557" w14:textId="77777777" w:rsidR="000C3D1F" w:rsidRPr="005B4E60" w:rsidRDefault="000C3D1F" w:rsidP="000C3D1F">
      <w:pPr>
        <w:pStyle w:val="ListParagraph"/>
        <w:numPr>
          <w:ilvl w:val="1"/>
          <w:numId w:val="1"/>
        </w:numPr>
        <w:rPr>
          <w:rFonts w:ascii="Arial" w:hAnsi="Arial" w:cs="Arial"/>
        </w:rPr>
      </w:pPr>
      <w:r w:rsidRPr="005B4E60">
        <w:rPr>
          <w:rFonts w:ascii="Arial" w:hAnsi="Arial" w:cs="Arial"/>
        </w:rPr>
        <w:t>The proximal phalanx head buttonholes through the dorsal defect.</w:t>
      </w:r>
    </w:p>
    <w:p w14:paraId="17884A36" w14:textId="77777777" w:rsidR="000C3D1F" w:rsidRPr="005B4E60" w:rsidRDefault="000C3D1F" w:rsidP="000C3D1F">
      <w:pPr>
        <w:pStyle w:val="ListParagraph"/>
        <w:numPr>
          <w:ilvl w:val="1"/>
          <w:numId w:val="1"/>
        </w:numPr>
        <w:rPr>
          <w:rFonts w:ascii="Arial" w:hAnsi="Arial" w:cs="Arial"/>
        </w:rPr>
      </w:pPr>
      <w:r w:rsidRPr="005B4E60">
        <w:rPr>
          <w:rFonts w:ascii="Arial" w:hAnsi="Arial" w:cs="Arial"/>
        </w:rPr>
        <w:t>There is volar migration of the lateral bands.</w:t>
      </w:r>
    </w:p>
    <w:p w14:paraId="6293B9E7" w14:textId="77777777" w:rsidR="000C3D1F" w:rsidRPr="005B4E60" w:rsidRDefault="000C3D1F" w:rsidP="000C3D1F">
      <w:pPr>
        <w:pStyle w:val="ListParagraph"/>
        <w:numPr>
          <w:ilvl w:val="1"/>
          <w:numId w:val="1"/>
        </w:numPr>
        <w:rPr>
          <w:rFonts w:ascii="Arial" w:hAnsi="Arial" w:cs="Arial"/>
        </w:rPr>
      </w:pPr>
      <w:r w:rsidRPr="005B4E60">
        <w:rPr>
          <w:rFonts w:ascii="Arial" w:hAnsi="Arial" w:cs="Arial"/>
        </w:rPr>
        <w:t>Hyperextension of the DIP joints occurs due to tension on the lateral bands.</w:t>
      </w:r>
    </w:p>
    <w:p w14:paraId="584FCD46" w14:textId="77777777" w:rsidR="000C3D1F" w:rsidRPr="005B4E60" w:rsidRDefault="000C3D1F" w:rsidP="000C3D1F">
      <w:pPr>
        <w:rPr>
          <w:rFonts w:ascii="Arial" w:hAnsi="Arial" w:cs="Arial"/>
          <w:i/>
          <w:u w:val="single"/>
        </w:rPr>
      </w:pPr>
      <w:r w:rsidRPr="005B4E60">
        <w:rPr>
          <w:rFonts w:ascii="Arial" w:hAnsi="Arial" w:cs="Arial"/>
          <w:b/>
          <w:u w:val="single"/>
        </w:rPr>
        <w:t>Conservative Management – Therapy</w:t>
      </w:r>
    </w:p>
    <w:p w14:paraId="0882E806" w14:textId="77777777" w:rsidR="000C3D1F" w:rsidRPr="005B4E60" w:rsidRDefault="000C3D1F" w:rsidP="000C3D1F">
      <w:pPr>
        <w:rPr>
          <w:rFonts w:ascii="Arial" w:hAnsi="Arial" w:cs="Arial"/>
          <w:b/>
        </w:rPr>
      </w:pPr>
      <w:r w:rsidRPr="005B4E60">
        <w:rPr>
          <w:rFonts w:ascii="Arial" w:hAnsi="Arial" w:cs="Arial"/>
          <w:b/>
        </w:rPr>
        <w:t>0-6 Weeks</w:t>
      </w:r>
    </w:p>
    <w:p w14:paraId="210BEFBF" w14:textId="77777777" w:rsidR="000C3D1F" w:rsidRPr="005B4E60" w:rsidRDefault="000C3D1F" w:rsidP="000C3D1F">
      <w:pPr>
        <w:pStyle w:val="ListParagraph"/>
        <w:numPr>
          <w:ilvl w:val="0"/>
          <w:numId w:val="1"/>
        </w:numPr>
        <w:rPr>
          <w:rFonts w:ascii="Arial" w:hAnsi="Arial" w:cs="Arial"/>
        </w:rPr>
      </w:pPr>
      <w:r w:rsidRPr="005B4E60">
        <w:rPr>
          <w:rFonts w:ascii="Arial" w:hAnsi="Arial" w:cs="Arial"/>
        </w:rPr>
        <w:t>Edema control is initiated as necessary for the digit utilizing Coban</w:t>
      </w:r>
      <w:r w:rsidRPr="005B4E60">
        <w:rPr>
          <w:rFonts w:ascii="Arial" w:hAnsi="Arial" w:cs="Arial"/>
          <w:vertAlign w:val="superscript"/>
        </w:rPr>
        <w:t>TM</w:t>
      </w:r>
      <w:r w:rsidRPr="005B4E60">
        <w:rPr>
          <w:rFonts w:ascii="Arial" w:hAnsi="Arial" w:cs="Arial"/>
        </w:rPr>
        <w:t xml:space="preserve"> or fingersocks.</w:t>
      </w:r>
    </w:p>
    <w:p w14:paraId="61F92363" w14:textId="77777777" w:rsidR="000C3D1F" w:rsidRPr="005B4E60" w:rsidRDefault="000C3D1F" w:rsidP="000C3D1F">
      <w:pPr>
        <w:pStyle w:val="ListParagraph"/>
        <w:numPr>
          <w:ilvl w:val="0"/>
          <w:numId w:val="1"/>
        </w:numPr>
        <w:rPr>
          <w:rFonts w:ascii="Arial" w:hAnsi="Arial" w:cs="Arial"/>
        </w:rPr>
      </w:pPr>
      <w:r w:rsidRPr="005B4E60">
        <w:rPr>
          <w:rFonts w:ascii="Arial" w:hAnsi="Arial" w:cs="Arial"/>
        </w:rPr>
        <w:t>A volar gutter splint is fitted, positioning the PIP joint in full extension with the DIP joint left free for ROM. The splint is worn continuously. Note: A dorsal splint may be fabricated I conjunction with the volar splint to maximize full PIP joint extension. In addition, as the acute edema has subsided, a cylinder cast may be considered to maximize excellent stability and positioning of the PIP joint in neutral.</w:t>
      </w:r>
    </w:p>
    <w:p w14:paraId="2DCF853A" w14:textId="77777777" w:rsidR="005B4E60" w:rsidRDefault="000C3D1F" w:rsidP="00A21809">
      <w:pPr>
        <w:pStyle w:val="ListParagraph"/>
        <w:numPr>
          <w:ilvl w:val="0"/>
          <w:numId w:val="1"/>
        </w:numPr>
        <w:rPr>
          <w:rFonts w:ascii="Arial" w:hAnsi="Arial" w:cs="Arial"/>
        </w:rPr>
      </w:pPr>
      <w:r w:rsidRPr="005B4E60">
        <w:rPr>
          <w:rFonts w:ascii="Arial" w:hAnsi="Arial" w:cs="Arial"/>
        </w:rPr>
        <w:t>Active and PROM exercises are initiated to all joints of the hand with the exception of the PIP joint that has been immobilized. The key exercise is both active and passive flexion to the DIP joint. This will place the oblique retinacular ligament</w:t>
      </w:r>
      <w:r w:rsidR="00A21809" w:rsidRPr="005B4E60">
        <w:rPr>
          <w:rFonts w:ascii="Arial" w:hAnsi="Arial" w:cs="Arial"/>
        </w:rPr>
        <w:t xml:space="preserve"> on stretch and prevent lateral band adherence and subluxation.</w:t>
      </w:r>
    </w:p>
    <w:p w14:paraId="0D36CA01" w14:textId="77777777" w:rsidR="005B4E60" w:rsidRDefault="005B4E60" w:rsidP="005B4E60">
      <w:pPr>
        <w:pStyle w:val="ListParagraph"/>
        <w:rPr>
          <w:rFonts w:ascii="Arial" w:hAnsi="Arial" w:cs="Arial"/>
        </w:rPr>
      </w:pPr>
    </w:p>
    <w:p w14:paraId="09F04A3B" w14:textId="77777777" w:rsidR="005B4E60" w:rsidRDefault="005B4E60" w:rsidP="005B4E60">
      <w:pPr>
        <w:pStyle w:val="ListParagraph"/>
        <w:rPr>
          <w:rFonts w:ascii="Arial" w:hAnsi="Arial" w:cs="Arial"/>
        </w:rPr>
      </w:pPr>
    </w:p>
    <w:p w14:paraId="625C5FF2" w14:textId="77777777" w:rsidR="005B4E60" w:rsidRDefault="005B4E60" w:rsidP="005B4E60">
      <w:pPr>
        <w:ind w:left="360"/>
        <w:rPr>
          <w:rFonts w:ascii="Arial" w:hAnsi="Arial" w:cs="Arial"/>
        </w:rPr>
      </w:pPr>
    </w:p>
    <w:p w14:paraId="0CD9AEB1" w14:textId="77777777" w:rsidR="00A21809" w:rsidRPr="005B4E60" w:rsidRDefault="00A21809" w:rsidP="005B4E60">
      <w:pPr>
        <w:tabs>
          <w:tab w:val="left" w:pos="360"/>
        </w:tabs>
        <w:ind w:left="360" w:hanging="360"/>
        <w:rPr>
          <w:rFonts w:ascii="Arial" w:hAnsi="Arial" w:cs="Arial"/>
        </w:rPr>
      </w:pPr>
      <w:r w:rsidRPr="005B4E60">
        <w:rPr>
          <w:rFonts w:ascii="Arial" w:hAnsi="Arial" w:cs="Arial"/>
          <w:b/>
        </w:rPr>
        <w:lastRenderedPageBreak/>
        <w:t>6 Weeks</w:t>
      </w:r>
    </w:p>
    <w:p w14:paraId="160F85BC" w14:textId="77777777" w:rsidR="00A21809" w:rsidRPr="005B4E60" w:rsidRDefault="00A21809" w:rsidP="00A21809">
      <w:pPr>
        <w:pStyle w:val="ListParagraph"/>
        <w:numPr>
          <w:ilvl w:val="0"/>
          <w:numId w:val="2"/>
        </w:numPr>
        <w:rPr>
          <w:rFonts w:ascii="Arial" w:hAnsi="Arial" w:cs="Arial"/>
        </w:rPr>
      </w:pPr>
      <w:r w:rsidRPr="005B4E60">
        <w:rPr>
          <w:rFonts w:ascii="Arial" w:hAnsi="Arial" w:cs="Arial"/>
        </w:rPr>
        <w:t>AROM exercises are initiated to the PIP joint of the involved digit 6 days a time for 5-10 minute sessions.</w:t>
      </w:r>
    </w:p>
    <w:p w14:paraId="6C8A3112" w14:textId="77777777" w:rsidR="00A21809" w:rsidRPr="005B4E60" w:rsidRDefault="00A21809" w:rsidP="00A21809">
      <w:pPr>
        <w:pStyle w:val="ListParagraph"/>
        <w:numPr>
          <w:ilvl w:val="0"/>
          <w:numId w:val="2"/>
        </w:numPr>
        <w:rPr>
          <w:rFonts w:ascii="Arial" w:hAnsi="Arial" w:cs="Arial"/>
        </w:rPr>
      </w:pPr>
      <w:r w:rsidRPr="005B4E60">
        <w:rPr>
          <w:rFonts w:ascii="Arial" w:hAnsi="Arial" w:cs="Arial"/>
        </w:rPr>
        <w:t>The PIP joint extension splint is continued between exercise sessions and at night.</w:t>
      </w:r>
    </w:p>
    <w:p w14:paraId="0C896D16" w14:textId="77777777" w:rsidR="00A21809" w:rsidRPr="005B4E60" w:rsidRDefault="00A21809" w:rsidP="00A21809">
      <w:pPr>
        <w:rPr>
          <w:rFonts w:ascii="Arial" w:hAnsi="Arial" w:cs="Arial"/>
        </w:rPr>
      </w:pPr>
      <w:r w:rsidRPr="005B4E60">
        <w:rPr>
          <w:rFonts w:ascii="Arial" w:hAnsi="Arial" w:cs="Arial"/>
          <w:b/>
        </w:rPr>
        <w:t>7 Weeks</w:t>
      </w:r>
    </w:p>
    <w:p w14:paraId="0F2AAE0D" w14:textId="77777777" w:rsidR="00A21809" w:rsidRPr="005B4E60" w:rsidRDefault="00A21809" w:rsidP="00A21809">
      <w:pPr>
        <w:pStyle w:val="ListParagraph"/>
        <w:numPr>
          <w:ilvl w:val="0"/>
          <w:numId w:val="3"/>
        </w:numPr>
        <w:rPr>
          <w:rFonts w:ascii="Arial" w:hAnsi="Arial" w:cs="Arial"/>
        </w:rPr>
      </w:pPr>
      <w:r w:rsidRPr="005B4E60">
        <w:rPr>
          <w:rFonts w:ascii="Arial" w:hAnsi="Arial" w:cs="Arial"/>
        </w:rPr>
        <w:t>PROM exercises are initiated to the PIP joint as necessary. It is important to monitor for an extensor lag. Should a PIP joint extensor lag greater than 10</w:t>
      </w:r>
      <w:r w:rsidRPr="005B4E60">
        <w:rPr>
          <w:rFonts w:ascii="Arial" w:hAnsi="Arial" w:cs="Arial"/>
        </w:rPr>
        <w:sym w:font="Symbol" w:char="F0B0"/>
      </w:r>
      <w:r w:rsidRPr="005B4E60">
        <w:rPr>
          <w:rFonts w:ascii="Arial" w:hAnsi="Arial" w:cs="Arial"/>
        </w:rPr>
        <w:t xml:space="preserve"> develop, the passive flexion should be avoided.</w:t>
      </w:r>
    </w:p>
    <w:p w14:paraId="7363E004" w14:textId="77777777" w:rsidR="00A21809" w:rsidRPr="005B4E60" w:rsidRDefault="00A21809" w:rsidP="00A21809">
      <w:pPr>
        <w:pStyle w:val="ListParagraph"/>
        <w:numPr>
          <w:ilvl w:val="0"/>
          <w:numId w:val="3"/>
        </w:numPr>
        <w:rPr>
          <w:rFonts w:ascii="Arial" w:hAnsi="Arial" w:cs="Arial"/>
        </w:rPr>
      </w:pPr>
      <w:r w:rsidRPr="005B4E60">
        <w:rPr>
          <w:rFonts w:ascii="Arial" w:hAnsi="Arial" w:cs="Arial"/>
        </w:rPr>
        <w:t>The wearing schedule with the PIP extension splint can gradually be decreased. To decrease the wearing time one hour each day should result in discontinuing the splint during the day between weeks 8 and 9.</w:t>
      </w:r>
    </w:p>
    <w:p w14:paraId="5995FB9A" w14:textId="77777777" w:rsidR="00A21809" w:rsidRPr="005B4E60" w:rsidRDefault="00A21809" w:rsidP="00A21809">
      <w:pPr>
        <w:rPr>
          <w:rFonts w:ascii="Arial" w:hAnsi="Arial" w:cs="Arial"/>
        </w:rPr>
      </w:pPr>
      <w:r w:rsidRPr="005B4E60">
        <w:rPr>
          <w:rFonts w:ascii="Arial" w:hAnsi="Arial" w:cs="Arial"/>
          <w:b/>
        </w:rPr>
        <w:t>8-10 Weeks</w:t>
      </w:r>
    </w:p>
    <w:p w14:paraId="69E2306A" w14:textId="77777777" w:rsidR="00A21809" w:rsidRPr="005B4E60" w:rsidRDefault="00A21809" w:rsidP="00A21809">
      <w:pPr>
        <w:pStyle w:val="ListParagraph"/>
        <w:numPr>
          <w:ilvl w:val="0"/>
          <w:numId w:val="4"/>
        </w:numPr>
        <w:rPr>
          <w:rFonts w:ascii="Arial" w:hAnsi="Arial" w:cs="Arial"/>
        </w:rPr>
      </w:pPr>
      <w:r w:rsidRPr="005B4E60">
        <w:rPr>
          <w:rFonts w:ascii="Arial" w:hAnsi="Arial" w:cs="Arial"/>
        </w:rPr>
        <w:t>Assuming excellent extension has been maintained, increased focus can be placed on maximizing full IP joint flexion with dynamic splinting or taping as necessary.</w:t>
      </w:r>
    </w:p>
    <w:p w14:paraId="25683ACF" w14:textId="77777777" w:rsidR="00A21809" w:rsidRPr="005B4E60" w:rsidRDefault="00A21809" w:rsidP="00A21809">
      <w:pPr>
        <w:pStyle w:val="ListParagraph"/>
        <w:numPr>
          <w:ilvl w:val="0"/>
          <w:numId w:val="4"/>
        </w:numPr>
        <w:rPr>
          <w:rFonts w:ascii="Arial" w:hAnsi="Arial" w:cs="Arial"/>
        </w:rPr>
      </w:pPr>
      <w:r w:rsidRPr="005B4E60">
        <w:rPr>
          <w:rFonts w:ascii="Arial" w:hAnsi="Arial" w:cs="Arial"/>
        </w:rPr>
        <w:t>The extension splint is discontinued both during the day and at night.</w:t>
      </w:r>
    </w:p>
    <w:p w14:paraId="2AA4EB0C" w14:textId="77777777" w:rsidR="00A21809" w:rsidRPr="005B4E60" w:rsidRDefault="00A21809" w:rsidP="00A21809">
      <w:pPr>
        <w:rPr>
          <w:rFonts w:ascii="Arial" w:hAnsi="Arial" w:cs="Arial"/>
          <w:b/>
        </w:rPr>
      </w:pPr>
      <w:r w:rsidRPr="005B4E60">
        <w:rPr>
          <w:rFonts w:ascii="Arial" w:hAnsi="Arial" w:cs="Arial"/>
          <w:b/>
          <w:u w:val="single"/>
        </w:rPr>
        <w:t>Considerations</w:t>
      </w:r>
    </w:p>
    <w:p w14:paraId="13D9E8A7" w14:textId="77777777" w:rsidR="00A21809" w:rsidRPr="005B4E60" w:rsidRDefault="00A21809" w:rsidP="00A21809">
      <w:pPr>
        <w:pStyle w:val="ListParagraph"/>
        <w:numPr>
          <w:ilvl w:val="0"/>
          <w:numId w:val="5"/>
        </w:numPr>
        <w:rPr>
          <w:rFonts w:ascii="Arial" w:hAnsi="Arial" w:cs="Arial"/>
          <w:b/>
        </w:rPr>
      </w:pPr>
      <w:r w:rsidRPr="005B4E60">
        <w:rPr>
          <w:rFonts w:ascii="Arial" w:hAnsi="Arial" w:cs="Arial"/>
        </w:rPr>
        <w:t xml:space="preserve">A balanced exercise and splinting program is essential to obtain the optimal outcome. The initial splinting must ensure excellent extension at the PIP joint. The splint </w:t>
      </w:r>
      <w:r w:rsidRPr="005B4E60">
        <w:rPr>
          <w:rFonts w:ascii="Arial" w:hAnsi="Arial" w:cs="Arial"/>
          <w:i/>
        </w:rPr>
        <w:t>must</w:t>
      </w:r>
      <w:r w:rsidR="005B4E60">
        <w:rPr>
          <w:rFonts w:ascii="Arial" w:hAnsi="Arial" w:cs="Arial"/>
          <w:i/>
        </w:rPr>
        <w:t xml:space="preserve"> </w:t>
      </w:r>
      <w:r w:rsidRPr="005B4E60">
        <w:rPr>
          <w:rFonts w:ascii="Arial" w:hAnsi="Arial" w:cs="Arial"/>
        </w:rPr>
        <w:t>maintain 0</w:t>
      </w:r>
      <w:r w:rsidRPr="005B4E60">
        <w:rPr>
          <w:rFonts w:ascii="Arial" w:hAnsi="Arial" w:cs="Arial"/>
        </w:rPr>
        <w:sym w:font="Symbol" w:char="F0B0"/>
      </w:r>
      <w:r w:rsidRPr="005B4E60">
        <w:rPr>
          <w:rFonts w:ascii="Arial" w:hAnsi="Arial" w:cs="Arial"/>
        </w:rPr>
        <w:t xml:space="preserve"> of extension.</w:t>
      </w:r>
    </w:p>
    <w:p w14:paraId="29BF1879" w14:textId="77777777" w:rsidR="00A21809" w:rsidRPr="005B4E60" w:rsidRDefault="00A21809" w:rsidP="00A21809">
      <w:pPr>
        <w:pStyle w:val="ListParagraph"/>
        <w:numPr>
          <w:ilvl w:val="0"/>
          <w:numId w:val="5"/>
        </w:numPr>
        <w:spacing w:before="240"/>
        <w:rPr>
          <w:rFonts w:ascii="Arial" w:hAnsi="Arial" w:cs="Arial"/>
          <w:b/>
        </w:rPr>
      </w:pPr>
      <w:r w:rsidRPr="005B4E60">
        <w:rPr>
          <w:rFonts w:ascii="Arial" w:hAnsi="Arial" w:cs="Arial"/>
        </w:rPr>
        <w:t xml:space="preserve">Once ROM exercises are initiated </w:t>
      </w:r>
      <w:r w:rsidRPr="005B4E60">
        <w:rPr>
          <w:rFonts w:ascii="Arial" w:hAnsi="Arial" w:cs="Arial"/>
          <w:i/>
        </w:rPr>
        <w:t xml:space="preserve">gradually </w:t>
      </w:r>
      <w:r w:rsidRPr="005B4E60">
        <w:rPr>
          <w:rFonts w:ascii="Arial" w:hAnsi="Arial" w:cs="Arial"/>
        </w:rPr>
        <w:t>increase the exercise sessions in order to minimize an extensor lag. It is extremely difficult to recapture extension.</w:t>
      </w:r>
    </w:p>
    <w:p w14:paraId="231AB094" w14:textId="77777777" w:rsidR="00A21809" w:rsidRPr="005B4E60" w:rsidRDefault="00A21809" w:rsidP="00A21809">
      <w:pPr>
        <w:pStyle w:val="ListParagraph"/>
        <w:numPr>
          <w:ilvl w:val="0"/>
          <w:numId w:val="5"/>
        </w:numPr>
        <w:spacing w:before="240"/>
        <w:rPr>
          <w:rFonts w:ascii="Arial" w:hAnsi="Arial" w:cs="Arial"/>
          <w:b/>
        </w:rPr>
      </w:pPr>
      <w:r w:rsidRPr="005B4E60">
        <w:rPr>
          <w:rFonts w:ascii="Arial" w:hAnsi="Arial" w:cs="Arial"/>
        </w:rPr>
        <w:t>Exercises to emphasize include: passive DIP joint flexion and extension with the PIP joint at 0</w:t>
      </w:r>
      <w:r w:rsidRPr="005B4E60">
        <w:rPr>
          <w:rFonts w:ascii="Arial" w:hAnsi="Arial" w:cs="Arial"/>
        </w:rPr>
        <w:sym w:font="Symbol" w:char="F0B0"/>
      </w:r>
      <w:r w:rsidRPr="005B4E60">
        <w:rPr>
          <w:rFonts w:ascii="Arial" w:hAnsi="Arial" w:cs="Arial"/>
        </w:rPr>
        <w:t xml:space="preserve"> and blocking the MP joint in flexion while attempting IP extension.</w:t>
      </w:r>
    </w:p>
    <w:p w14:paraId="51F4D057" w14:textId="77777777" w:rsidR="00A21809" w:rsidRPr="005B4E60" w:rsidRDefault="00A21809" w:rsidP="00A21809">
      <w:pPr>
        <w:rPr>
          <w:rFonts w:ascii="Arial" w:hAnsi="Arial" w:cs="Arial"/>
        </w:rPr>
      </w:pPr>
    </w:p>
    <w:sectPr w:rsidR="00A21809" w:rsidRPr="005B4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26E"/>
    <w:multiLevelType w:val="hybridMultilevel"/>
    <w:tmpl w:val="C670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11043"/>
    <w:multiLevelType w:val="hybridMultilevel"/>
    <w:tmpl w:val="F86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E7F6A"/>
    <w:multiLevelType w:val="hybridMultilevel"/>
    <w:tmpl w:val="BF14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771F9"/>
    <w:multiLevelType w:val="hybridMultilevel"/>
    <w:tmpl w:val="3FAE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82789E"/>
    <w:multiLevelType w:val="hybridMultilevel"/>
    <w:tmpl w:val="8B50F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16798">
    <w:abstractNumId w:val="4"/>
  </w:num>
  <w:num w:numId="2" w16cid:durableId="1757896633">
    <w:abstractNumId w:val="2"/>
  </w:num>
  <w:num w:numId="3" w16cid:durableId="395511078">
    <w:abstractNumId w:val="3"/>
  </w:num>
  <w:num w:numId="4" w16cid:durableId="1510439699">
    <w:abstractNumId w:val="1"/>
  </w:num>
  <w:num w:numId="5" w16cid:durableId="29067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1F"/>
    <w:rsid w:val="000C3D1F"/>
    <w:rsid w:val="00190CE9"/>
    <w:rsid w:val="00296B9F"/>
    <w:rsid w:val="004D5FE2"/>
    <w:rsid w:val="005B4E60"/>
    <w:rsid w:val="00A21809"/>
    <w:rsid w:val="00CD08E1"/>
    <w:rsid w:val="00D13D3D"/>
    <w:rsid w:val="00D5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5E6B"/>
  <w15:docId w15:val="{A422093D-9CF4-4262-875B-BDD95BFD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1F"/>
    <w:pPr>
      <w:spacing w:after="200" w:line="276"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2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Nawrocki</dc:creator>
  <cp:lastModifiedBy>Dr. Andrew R. McNamara</cp:lastModifiedBy>
  <cp:revision>3</cp:revision>
  <cp:lastPrinted>2018-05-09T20:47:00Z</cp:lastPrinted>
  <dcterms:created xsi:type="dcterms:W3CDTF">2019-02-03T17:00:00Z</dcterms:created>
  <dcterms:modified xsi:type="dcterms:W3CDTF">2024-11-19T14:05:00Z</dcterms:modified>
</cp:coreProperties>
</file>